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0" w:rsidRDefault="00B72C90">
      <w:pPr>
        <w:pStyle w:val="Standard"/>
        <w:jc w:val="center"/>
      </w:pPr>
      <w:r>
        <w:rPr>
          <w:b/>
          <w:color w:val="000000"/>
          <w:sz w:val="32"/>
          <w:szCs w:val="32"/>
          <w:u w:val="single"/>
        </w:rPr>
        <w:t>ARCHIDIECEZJALNA KOMISJA MUZYKI SAKRALNEJ W KATOWICACH</w:t>
      </w:r>
    </w:p>
    <w:p w:rsidR="00B72C90" w:rsidRDefault="00B72C90">
      <w:pPr>
        <w:pStyle w:val="Standard"/>
        <w:jc w:val="center"/>
        <w:rPr>
          <w:color w:val="000000"/>
        </w:rPr>
      </w:pPr>
    </w:p>
    <w:p w:rsidR="00B72C90" w:rsidRDefault="00B72C90">
      <w:pPr>
        <w:pStyle w:val="Standard"/>
        <w:jc w:val="center"/>
      </w:pPr>
      <w:r>
        <w:rPr>
          <w:b/>
          <w:color w:val="000000"/>
          <w:sz w:val="32"/>
          <w:szCs w:val="32"/>
        </w:rPr>
        <w:t>Materiały pomocnicze w ukształtowaniu</w:t>
      </w:r>
    </w:p>
    <w:p w:rsidR="00B72C90" w:rsidRDefault="00B72C90">
      <w:pPr>
        <w:pStyle w:val="Standard"/>
        <w:jc w:val="center"/>
      </w:pPr>
      <w:r>
        <w:rPr>
          <w:b/>
          <w:color w:val="000000"/>
          <w:sz w:val="32"/>
          <w:szCs w:val="32"/>
        </w:rPr>
        <w:t>muzyki liturgicznej w celebracji sakramentu małżeństwa</w:t>
      </w:r>
    </w:p>
    <w:p w:rsidR="00B72C90" w:rsidRDefault="00B72C90">
      <w:pPr>
        <w:pStyle w:val="Standard"/>
        <w:jc w:val="center"/>
        <w:rPr>
          <w:color w:val="000000"/>
        </w:rPr>
      </w:pPr>
    </w:p>
    <w:p w:rsidR="00B72C90" w:rsidRDefault="00B72C90">
      <w:pPr>
        <w:pStyle w:val="Standard"/>
        <w:jc w:val="both"/>
        <w:rPr>
          <w:b/>
          <w:u w:val="single"/>
        </w:rPr>
      </w:pPr>
    </w:p>
    <w:p w:rsidR="00B72C90" w:rsidRDefault="00B72C90">
      <w:pPr>
        <w:pStyle w:val="Standard"/>
        <w:jc w:val="both"/>
      </w:pPr>
      <w:r>
        <w:rPr>
          <w:b/>
          <w:sz w:val="28"/>
        </w:rPr>
        <w:t>1. WSTĘP</w:t>
      </w:r>
    </w:p>
    <w:p w:rsidR="00B72C90" w:rsidRDefault="00B72C90">
      <w:pPr>
        <w:pStyle w:val="Standard"/>
        <w:jc w:val="both"/>
        <w:rPr>
          <w:b/>
          <w:sz w:val="28"/>
        </w:rPr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O co i dlaczego warto, a nawet trzeba, zadbać?</w:t>
      </w:r>
    </w:p>
    <w:p w:rsidR="00B72C90" w:rsidRDefault="00B72C90">
      <w:pPr>
        <w:pStyle w:val="Standard"/>
        <w:jc w:val="both"/>
      </w:pPr>
      <w:r>
        <w:t>Gdy narzeczeni planują uroczystość ślubną, chcą</w:t>
      </w:r>
      <w:r>
        <w:rPr>
          <w:color w:val="000000"/>
        </w:rPr>
        <w:t xml:space="preserve"> oczywiście, by wszystko było piękne i profesjonalne. Muzyka podczas liturgii pełni ważną, a zarazem dyskretną rolę – z jednej strony współtworzy święte obrzędy, z drugiej wpływa na odczucia uczestników, by stawali się zdolni do uwielbienia samego Boga. Tak, jak miłość podporządkowana wyłącznie emocjom nie „spełni” człowieka, tak samo liturgia podporządkowana efektom i zachciankom nie będzie prawdziwym uczczeniem Boga i owocnym czerpaniem z Jego źródła. Dlatego właśnie tak ważne jest zachowanie wierności prawu i duchowi liturgii, gdyż gwarantuje to, że człowiek nie pominie Boga oraz nie potraktuje Go źle w tak ważnej i decydującej chwili swojego życia. Jeśli nie dziwi nas etykieta na spotkaniach z ważnymi osobistościami, to tym więcej nie powinna dziwić dbałość o przygotowanie spotkania z samym Bogiem.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Kto może pomóc w praktyce?</w:t>
      </w:r>
    </w:p>
    <w:p w:rsidR="00B72C90" w:rsidRDefault="00B72C90">
      <w:pPr>
        <w:pStyle w:val="Standard"/>
        <w:jc w:val="both"/>
      </w:pPr>
      <w:r>
        <w:t xml:space="preserve">Archidiecezjalna Komisja Muzyki Sakralnej istnieje i pracuje właśnie po to, ażeby pomagać w praktyce – zarówno kapłanom, jak i organistom oraz innym muzykom (w tej sytuacji także solistom), </w:t>
      </w:r>
      <w:bookmarkStart w:id="0" w:name="_GoBack"/>
      <w:bookmarkEnd w:id="0"/>
      <w:r>
        <w:t>jak również wiernym (tu przede wszystkim narzeczonym). Ta broszura została opracowana jako odpowiedź na wątpliwości, a nawet spory. Jest również rozwinięciem myśli, zawartej w pkt 30g najnowsze</w:t>
      </w:r>
      <w:r>
        <w:rPr>
          <w:color w:val="000000"/>
        </w:rPr>
        <w:t xml:space="preserve">j </w:t>
      </w:r>
      <w:r>
        <w:rPr>
          <w:i/>
          <w:iCs/>
          <w:color w:val="000000"/>
        </w:rPr>
        <w:t>Instrukcji Konferencji Episkopatu Polski o muzyce kościelnej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z</w:t>
      </w:r>
      <w:r>
        <w:rPr>
          <w:color w:val="000000"/>
        </w:rPr>
        <w:t xml:space="preserve"> 14 X 2017, gdzie czytamy o s</w:t>
      </w:r>
      <w:r>
        <w:t>tosowności, adekwatności i właściwych proporcjach między śpiewem a utworami solowymi.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Profesjonalni muzycy są bardzo potrzebni</w:t>
      </w:r>
    </w:p>
    <w:p w:rsidR="00B72C90" w:rsidRDefault="00B72C90">
      <w:pPr>
        <w:pStyle w:val="Standard"/>
        <w:jc w:val="both"/>
      </w:pPr>
      <w:r>
        <w:t>Jest sprawą bezdyskusyjną, że przede wszystkim sami muzycy – zarówno organiści jak też soliści, którzy przychodz</w:t>
      </w:r>
      <w:r>
        <w:rPr>
          <w:color w:val="000000"/>
        </w:rPr>
        <w:t>ą na liturgię powinni znać przepisy muzyki liturgicznej. O tym, że nie każda forma sztuki nadaje się do wnętrza kościoła, pisał Joseph kardynał Ratzinger - papież Benedykt XVI („Nowa pieśń dla Pana”: „Przeciw estetyzmowi jako celowi samemu w sobie”, Kraków 1999, s. 168-169). Profes</w:t>
      </w:r>
      <w:r>
        <w:t xml:space="preserve">jonalizm to nie tylko umiejętności, ale i poszanowanie granic – stosowność. Od dobrego organisty i solisty zupełnie naturalnie oczekuje się propozycji wartościowego repertuaru, a także umiejętności ułożenia go w liturgii tak, by nie naruszyć adekwatności treści i sensu obrzędów.  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„Przyjacielu, jakże tu wszedłeś nie mając stroju weselnego?”</w:t>
      </w:r>
    </w:p>
    <w:p w:rsidR="00B72C90" w:rsidRDefault="00B72C90">
      <w:pPr>
        <w:pStyle w:val="Standard"/>
        <w:jc w:val="both"/>
      </w:pPr>
      <w:r>
        <w:t xml:space="preserve">Warto przeczytać ten fragment z Ewangelii św. Mateusza Mt 22,1-14 (tym bardziej przed ślubem). Niestety coraz częściej spotyka się oferty będące „nieodpowiednim strojem”. Piosenki rozrywkowe, wykonywane także przy akompaniamencie, którego styl i brzmienie jest typowe dla muzyki popowej (np. tzw. „electric piano” lub też gitara podłączona do tzw. „piecyka”, a niekiedy nawet perkusja itp.) często reklamowane są jako „profesjonalna oprawa muzyczna uroczystości ślubnej” np. na „you tube”. Zabiegiem jaki – według deklaracji </w:t>
      </w:r>
      <w:r>
        <w:rPr>
          <w:color w:val="000000"/>
        </w:rPr>
        <w:t>twórców – ma na celu dostosowanie piosenki lub utworu do liturgii jest tzw. kontrafaktura, czyli zamiana (lub częściowa korekta) tekstu świeckiego na „upobożniony”. Jednym z najsłynniejszych przykładów wydaje się być tutaj piosenka „Alleluja” L. Cohena - z filmu pt. „Shreck”. Jednak każdy profesjonalista zdaje sobie sprawę, że takie ingerencje naruszają spójność kompozycji, służąc często niestety interesom wykonawców lub zamawiających. To, że liturgia nie jest handlem, a budynek kościoła sceną, też jasno i logicznie wyjaśnia kardynał Ratzinger („Nowa pieśń dla Pana”: „Przeciw pragmatyzmowi duszpasterskiemu jako celowi samemu w sobie”, tamże, s. 170-173).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Komu ufać i kto ma prawo decydować?</w:t>
      </w:r>
    </w:p>
    <w:p w:rsidR="00B72C90" w:rsidRDefault="00B72C90">
      <w:pPr>
        <w:pStyle w:val="Standard"/>
        <w:jc w:val="both"/>
      </w:pPr>
      <w:r>
        <w:t xml:space="preserve">W tym miejscu trzeba też przypomnieć, że właściwą kolejnością uzgodnień muzycznych na ślub jest najpierw rozmowa z kapłanem i organistą, a dopiero później zawieranie umów z różnymi solistami. Nierzadko bowiem dochodzi do swoistego szantażu i stawiania Kościoła </w:t>
      </w:r>
      <w:r>
        <w:rPr>
          <w:color w:val="000000"/>
        </w:rPr>
        <w:t>przed faktem dokonanym np. że solista już zarezerwował termin i w razie odwołania będzie „stratny”, i że wpłacono już zaliczkę.</w:t>
      </w:r>
    </w:p>
    <w:p w:rsidR="00B72C90" w:rsidRDefault="00B72C90">
      <w:pPr>
        <w:pStyle w:val="Standard"/>
        <w:jc w:val="both"/>
        <w:rPr>
          <w:strike/>
        </w:rPr>
      </w:pPr>
    </w:p>
    <w:p w:rsidR="00B72C90" w:rsidRDefault="00B72C90">
      <w:pPr>
        <w:pStyle w:val="Standard"/>
      </w:pPr>
      <w:r>
        <w:rPr>
          <w:b/>
          <w:u w:val="single"/>
        </w:rPr>
        <w:t>Pożyteczne wzory</w:t>
      </w:r>
    </w:p>
    <w:p w:rsidR="00B72C90" w:rsidRDefault="00B72C90">
      <w:pPr>
        <w:pStyle w:val="Standard"/>
        <w:jc w:val="both"/>
      </w:pPr>
      <w:r>
        <w:t>Jako przykład opracowane zostały</w:t>
      </w:r>
      <w:r>
        <w:rPr>
          <w:color w:val="000000"/>
        </w:rPr>
        <w:t xml:space="preserve"> trzy propozycje ukształtowania muzyki liturgicznej o różnej skali trudności. Listę można oczywiście poszerzać o utwory innych kompozytorów. Jednak powinny one mieć podobną stylisty</w:t>
      </w:r>
      <w:r>
        <w:t xml:space="preserve">kę do zamieszczonych w niniejszej broszurce i koniecznie odznaczać się duchem nabożności. Np. tekst liturgiczny </w:t>
      </w:r>
      <w:r>
        <w:rPr>
          <w:i/>
        </w:rPr>
        <w:t xml:space="preserve">Ave verum </w:t>
      </w:r>
      <w:r>
        <w:t>opracował nie tylko W. A. Mozart – dla urozmaicenia warto sięgnąć także po kompozycję Ch. Gounoda czy E. Elgara. Repertuar utworów solowych w ramach Mszy ślubnej powinien być dobrany rozsądnie, by nie wykluczyć wspólnego śpiewu zgromadzenia. W niektórych przypadkach słuchanie będzie również formą uczestnictwa, (por. Instrukcja KEP o muzyce kościelnej, n. 10j).</w:t>
      </w:r>
    </w:p>
    <w:p w:rsidR="00B72C90" w:rsidRDefault="00B72C90">
      <w:pPr>
        <w:pStyle w:val="Standard"/>
        <w:jc w:val="both"/>
      </w:pPr>
      <w:r>
        <w:t xml:space="preserve">Warto przytoczyć jeszcze stanowczą dyrektywę  biskupów polskich, że w ramach celebracji liturgii sakramentu małżeństwa „należy pilnie wystrzegać się, by pod pozorem podnoszenia okazałości nie wprowadzać do obrzędów czegoś niezgodnego z kultem[…] Dobór repertuaru wokalnego i instrumentalnego musi odpowiadać charakterowi świętych czynności. Nie wolno też odtwarzać muzyki </w:t>
      </w:r>
      <w:r>
        <w:rPr>
          <w:bCs/>
        </w:rPr>
        <w:t>za pomocą urządzeń</w:t>
      </w:r>
      <w:r>
        <w:t xml:space="preserve"> elektronicznych”, (por. Instrukcja KEP o muzyce kościelnej, n. 30g).</w:t>
      </w:r>
    </w:p>
    <w:p w:rsidR="00B72C90" w:rsidRDefault="00B72C90">
      <w:pPr>
        <w:pStyle w:val="Standard"/>
        <w:jc w:val="both"/>
        <w:rPr>
          <w:strike/>
          <w:sz w:val="20"/>
        </w:rPr>
      </w:pPr>
    </w:p>
    <w:p w:rsidR="00B72C90" w:rsidRDefault="00B72C90">
      <w:pPr>
        <w:pStyle w:val="Standard"/>
        <w:jc w:val="both"/>
        <w:rPr>
          <w:b/>
        </w:rPr>
      </w:pPr>
    </w:p>
    <w:p w:rsidR="00B72C90" w:rsidRDefault="00B72C90">
      <w:pPr>
        <w:pStyle w:val="Standard"/>
        <w:jc w:val="both"/>
      </w:pPr>
      <w:r>
        <w:rPr>
          <w:b/>
          <w:sz w:val="28"/>
        </w:rPr>
        <w:t>2. PRZYKŁADY</w:t>
      </w:r>
    </w:p>
    <w:p w:rsidR="00B72C90" w:rsidRDefault="00B72C90">
      <w:pPr>
        <w:pStyle w:val="Standard"/>
        <w:jc w:val="both"/>
        <w:rPr>
          <w:b/>
        </w:rPr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I. Poziom łatwy:</w:t>
      </w:r>
    </w:p>
    <w:p w:rsidR="00B72C90" w:rsidRDefault="00B72C90">
      <w:pPr>
        <w:pStyle w:val="Standard"/>
        <w:jc w:val="both"/>
      </w:pPr>
      <w:r>
        <w:t>Utwór na wejście pary: Ks. Antoni Chlondowski – Preludium G-dur (marszowe)</w:t>
      </w:r>
    </w:p>
    <w:p w:rsidR="00B72C90" w:rsidRDefault="00B72C90">
      <w:pPr>
        <w:pStyle w:val="Standard"/>
        <w:jc w:val="both"/>
      </w:pPr>
      <w:r>
        <w:t>W: Pod Twą obronę Ojcze na niebie (ŚAK 613)</w:t>
      </w:r>
    </w:p>
    <w:p w:rsidR="00B72C90" w:rsidRDefault="00B72C90">
      <w:pPr>
        <w:pStyle w:val="Standard"/>
        <w:jc w:val="both"/>
      </w:pPr>
      <w:r>
        <w:rPr>
          <w:color w:val="000000"/>
        </w:rPr>
        <w:t>Hymn do Ducha Świętego: Przybądź Duchu Stworzycielu (ŚAK 195)</w:t>
      </w:r>
    </w:p>
    <w:p w:rsidR="00B72C90" w:rsidRDefault="00B72C90">
      <w:pPr>
        <w:pStyle w:val="Standard"/>
        <w:jc w:val="both"/>
      </w:pPr>
      <w:r>
        <w:rPr>
          <w:color w:val="000000"/>
        </w:rPr>
        <w:t xml:space="preserve">Podpisanie dokumentów: Johann Sebastian Bach – Preludium chorałowe </w:t>
      </w:r>
      <w:r>
        <w:rPr>
          <w:i/>
          <w:color w:val="000000"/>
        </w:rPr>
        <w:t xml:space="preserve">Liebster Jesu wir sind hier </w:t>
      </w:r>
      <w:r>
        <w:rPr>
          <w:color w:val="000000"/>
        </w:rPr>
        <w:t>BWV 731 lub Johann Sebastian Bach – Aria na strunie g</w:t>
      </w:r>
    </w:p>
    <w:p w:rsidR="00B72C90" w:rsidRPr="009A3CBA" w:rsidRDefault="00B72C90">
      <w:pPr>
        <w:pStyle w:val="Standard"/>
        <w:jc w:val="both"/>
        <w:rPr>
          <w:color w:val="000000"/>
          <w:lang w:val="de-DE"/>
        </w:rPr>
      </w:pPr>
      <w:r w:rsidRPr="009A3CBA">
        <w:rPr>
          <w:color w:val="000000"/>
          <w:lang w:val="de-DE"/>
        </w:rPr>
        <w:t>Pd: César Franck – Offertoire C-dur ze zbioru L`Organiste vol. 1</w:t>
      </w:r>
    </w:p>
    <w:p w:rsidR="00B72C90" w:rsidRPr="009A3CBA" w:rsidRDefault="00B72C90">
      <w:pPr>
        <w:pStyle w:val="Standard"/>
        <w:jc w:val="both"/>
        <w:rPr>
          <w:lang w:val="de-DE"/>
        </w:rPr>
      </w:pPr>
      <w:r w:rsidRPr="009A3CBA">
        <w:rPr>
          <w:color w:val="000000"/>
          <w:lang w:val="de-DE"/>
        </w:rPr>
        <w:t>K: Jezu drogi, Tyś miłością (ŚAK 229), Wolfgang Amadeusz Mozart – Ave verum</w:t>
      </w:r>
    </w:p>
    <w:p w:rsidR="00B72C90" w:rsidRDefault="00B72C90">
      <w:pPr>
        <w:pStyle w:val="Standard"/>
        <w:jc w:val="both"/>
      </w:pPr>
      <w:r>
        <w:t>U: Antonio Vivaldi – Domine Deus</w:t>
      </w:r>
    </w:p>
    <w:p w:rsidR="00B72C90" w:rsidRDefault="00B72C90">
      <w:pPr>
        <w:pStyle w:val="Standard"/>
        <w:jc w:val="both"/>
      </w:pPr>
      <w:r>
        <w:t>Z: Najświętsze Serce Boże (ŚAK 319)</w:t>
      </w:r>
    </w:p>
    <w:p w:rsidR="00B72C90" w:rsidRDefault="00B72C90">
      <w:pPr>
        <w:pStyle w:val="Standard"/>
        <w:jc w:val="both"/>
      </w:pPr>
      <w:r>
        <w:t>Wyjście pary:  Johann Sebastian Bach – Preludium i fuga G-dur (małe) BWV 557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II. Poziom średni:</w:t>
      </w:r>
    </w:p>
    <w:p w:rsidR="00B72C90" w:rsidRDefault="00B72C90">
      <w:pPr>
        <w:pStyle w:val="Standard"/>
        <w:jc w:val="both"/>
      </w:pPr>
      <w:r>
        <w:t>Utwór na wejście pary: Johann Sebastian Bach – Preludium B-dur (małe) BWV 560</w:t>
      </w:r>
    </w:p>
    <w:p w:rsidR="00B72C90" w:rsidRDefault="00B72C90">
      <w:pPr>
        <w:pStyle w:val="Standard"/>
        <w:jc w:val="both"/>
      </w:pPr>
      <w:r>
        <w:t>W: Gdzie miłość wzajemna i dobroć (ŚAK 587)</w:t>
      </w:r>
    </w:p>
    <w:p w:rsidR="00B72C90" w:rsidRDefault="00B72C90">
      <w:pPr>
        <w:pStyle w:val="Standard"/>
        <w:jc w:val="both"/>
      </w:pPr>
      <w:r>
        <w:rPr>
          <w:color w:val="000000"/>
        </w:rPr>
        <w:t>Hymn do Ducha Świętego: O, Stworzycielu Duchu, przyjdź (ŚAK 191)</w:t>
      </w:r>
    </w:p>
    <w:p w:rsidR="00B72C90" w:rsidRDefault="00B72C90">
      <w:pPr>
        <w:pStyle w:val="Standard"/>
        <w:jc w:val="both"/>
      </w:pPr>
      <w:r>
        <w:rPr>
          <w:color w:val="000000"/>
        </w:rPr>
        <w:t xml:space="preserve">Podpisanie dokumentów: Johann Sebastian Bach – II cz. Koncertu Skrzypcowego a-moll lub </w:t>
      </w:r>
      <w:r>
        <w:t>Moritz Brosig – Preludium C-dur op. 52/1</w:t>
      </w:r>
    </w:p>
    <w:p w:rsidR="00B72C90" w:rsidRDefault="00B72C90">
      <w:pPr>
        <w:pStyle w:val="Standard"/>
        <w:jc w:val="both"/>
      </w:pPr>
      <w:r>
        <w:t>Pd: Jeden chleb (ŚAK 228)</w:t>
      </w:r>
    </w:p>
    <w:p w:rsidR="00B72C90" w:rsidRDefault="00B72C90">
      <w:pPr>
        <w:pStyle w:val="Standard"/>
        <w:jc w:val="both"/>
      </w:pPr>
      <w:r>
        <w:t>K: César Franck – Panis angelicus z</w:t>
      </w:r>
      <w:r>
        <w:rPr>
          <w:rStyle w:val="apple-converted-space"/>
          <w:rFonts w:cs="Arial"/>
        </w:rPr>
        <w:t> </w:t>
      </w:r>
      <w:r>
        <w:rPr>
          <w:i/>
        </w:rPr>
        <w:t xml:space="preserve">Messe à trois voix </w:t>
      </w:r>
      <w:r>
        <w:t>op. 12</w:t>
      </w:r>
    </w:p>
    <w:p w:rsidR="00B72C90" w:rsidRDefault="00B72C90">
      <w:pPr>
        <w:pStyle w:val="Standard"/>
        <w:jc w:val="both"/>
        <w:rPr>
          <w:lang w:val="en-US"/>
        </w:rPr>
      </w:pPr>
      <w:r>
        <w:rPr>
          <w:lang w:val="en-US"/>
        </w:rPr>
        <w:t>U: Hans Leo Hassler – Cantate Domino</w:t>
      </w:r>
    </w:p>
    <w:p w:rsidR="00B72C90" w:rsidRDefault="00B72C90">
      <w:pPr>
        <w:pStyle w:val="Standard"/>
        <w:jc w:val="both"/>
        <w:rPr>
          <w:lang w:val="en-US"/>
        </w:rPr>
      </w:pPr>
      <w:r>
        <w:rPr>
          <w:lang w:val="en-US"/>
        </w:rPr>
        <w:t>Z: John Rutter – The Lord bless you and keep you lub César Franck – Sortie en Ré majeur</w:t>
      </w:r>
    </w:p>
    <w:p w:rsidR="00B72C90" w:rsidRDefault="00B72C90">
      <w:pPr>
        <w:pStyle w:val="Standard"/>
        <w:jc w:val="both"/>
        <w:rPr>
          <w:lang w:val="en-US"/>
        </w:rPr>
      </w:pPr>
      <w:r>
        <w:rPr>
          <w:lang w:val="en-US"/>
        </w:rPr>
        <w:t>Wyjście pary: Georg Friedrich Händel – Marsz D-dur na trąbkę i organy HWV 416 lub Johann Sebastian Bach – Jesus bleibet meine Freude – chorał z Kantaty 147</w:t>
      </w:r>
    </w:p>
    <w:p w:rsidR="00B72C90" w:rsidRDefault="00B72C90">
      <w:pPr>
        <w:pStyle w:val="Standard"/>
        <w:jc w:val="both"/>
        <w:rPr>
          <w:b/>
          <w:u w:val="single"/>
          <w:lang w:val="en-US"/>
        </w:rPr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III. Poziom trudny:</w:t>
      </w:r>
    </w:p>
    <w:p w:rsidR="00B72C90" w:rsidRDefault="00B72C90">
      <w:pPr>
        <w:pStyle w:val="Standard"/>
        <w:jc w:val="both"/>
      </w:pPr>
      <w:r>
        <w:t>Utwór na wejście pary: Johann Sebastian Bach – Preludium Es-dur BWV 552</w:t>
      </w:r>
    </w:p>
    <w:p w:rsidR="00B72C90" w:rsidRDefault="00B72C90">
      <w:pPr>
        <w:pStyle w:val="Standard"/>
        <w:jc w:val="both"/>
      </w:pPr>
      <w:r>
        <w:t>W:  Ludu kapłański (ŚAK 598)</w:t>
      </w:r>
    </w:p>
    <w:p w:rsidR="00B72C90" w:rsidRDefault="00B72C90">
      <w:pPr>
        <w:pStyle w:val="Standard"/>
        <w:jc w:val="both"/>
      </w:pPr>
      <w:r>
        <w:rPr>
          <w:color w:val="000000"/>
        </w:rPr>
        <w:t>Hymn do Ducha Świętego: Veni Creator Spiritus (ŚAK 192)</w:t>
      </w:r>
    </w:p>
    <w:p w:rsidR="00B72C90" w:rsidRDefault="00B72C90">
      <w:pPr>
        <w:pStyle w:val="Standard"/>
        <w:jc w:val="both"/>
        <w:rPr>
          <w:color w:val="000000"/>
        </w:rPr>
      </w:pPr>
      <w:r>
        <w:rPr>
          <w:color w:val="000000"/>
        </w:rPr>
        <w:t>Podpisanie dokumentów: Ubi caritas et amor (śpiew gregoriański)</w:t>
      </w:r>
    </w:p>
    <w:p w:rsidR="00B72C90" w:rsidRDefault="00B72C90">
      <w:pPr>
        <w:pStyle w:val="Standard"/>
        <w:tabs>
          <w:tab w:val="left" w:pos="4694"/>
        </w:tabs>
        <w:jc w:val="both"/>
      </w:pPr>
      <w:r>
        <w:rPr>
          <w:color w:val="000000"/>
        </w:rPr>
        <w:t>Pd: Przykazanie nowe daję wam (ŚAK 617.1 lub 617.2)</w:t>
      </w:r>
      <w:r>
        <w:rPr>
          <w:color w:val="000000"/>
        </w:rPr>
        <w:tab/>
      </w:r>
    </w:p>
    <w:p w:rsidR="00B72C90" w:rsidRDefault="00B72C90">
      <w:pPr>
        <w:pStyle w:val="Standard"/>
        <w:jc w:val="both"/>
        <w:rPr>
          <w:color w:val="000000"/>
        </w:rPr>
      </w:pPr>
      <w:r>
        <w:rPr>
          <w:color w:val="000000"/>
        </w:rPr>
        <w:t>K: Adoro te devote (śpiew gregoriański) lub Karl Jenkins – Ave verum</w:t>
      </w:r>
    </w:p>
    <w:p w:rsidR="00B72C90" w:rsidRPr="009A3CBA" w:rsidRDefault="00B72C90">
      <w:pPr>
        <w:pStyle w:val="Standard"/>
        <w:jc w:val="both"/>
        <w:rPr>
          <w:lang w:val="de-DE"/>
        </w:rPr>
      </w:pPr>
      <w:r>
        <w:rPr>
          <w:color w:val="000000"/>
          <w:lang w:val="de-AT"/>
        </w:rPr>
        <w:t>U: Max Reger – Lobe den Herren, den mächtigen König op. 67</w:t>
      </w:r>
    </w:p>
    <w:p w:rsidR="00B72C90" w:rsidRDefault="00B72C90">
      <w:pPr>
        <w:pStyle w:val="Standard"/>
        <w:jc w:val="both"/>
        <w:rPr>
          <w:color w:val="000000"/>
        </w:rPr>
      </w:pPr>
      <w:r>
        <w:rPr>
          <w:color w:val="000000"/>
        </w:rPr>
        <w:t>Z: Błogosław Panie nas (ŚAK 571)</w:t>
      </w:r>
    </w:p>
    <w:p w:rsidR="00B72C90" w:rsidRDefault="00B72C90">
      <w:pPr>
        <w:pStyle w:val="Standard"/>
        <w:jc w:val="both"/>
      </w:pPr>
      <w:r>
        <w:t>Wyjście pary: Feliks Mendelssohn-Bartholdy – IV część z I Sonaty organowej f-moll op. 65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rPr>
          <w:b/>
          <w:sz w:val="28"/>
        </w:rPr>
        <w:t>3. LISTY UTWORÓW</w:t>
      </w:r>
    </w:p>
    <w:p w:rsidR="00B72C90" w:rsidRDefault="00B72C90">
      <w:pPr>
        <w:pStyle w:val="Standard"/>
        <w:jc w:val="both"/>
        <w:rPr>
          <w:b/>
          <w:sz w:val="28"/>
        </w:rPr>
      </w:pPr>
    </w:p>
    <w:p w:rsidR="00B72C90" w:rsidRDefault="00B72C90">
      <w:pPr>
        <w:pStyle w:val="Standard"/>
        <w:jc w:val="both"/>
      </w:pPr>
      <w:r>
        <w:rPr>
          <w:b/>
          <w:szCs w:val="16"/>
          <w:u w:val="single"/>
        </w:rPr>
        <w:t>KOMENTARZ DO LITERATURY</w:t>
      </w:r>
    </w:p>
    <w:p w:rsidR="00B72C90" w:rsidRDefault="00B72C90">
      <w:pPr>
        <w:pStyle w:val="Standard"/>
        <w:jc w:val="both"/>
      </w:pPr>
      <w:r>
        <w:rPr>
          <w:szCs w:val="16"/>
        </w:rPr>
        <w:t xml:space="preserve">1. Listy utworów </w:t>
      </w:r>
      <w:r>
        <w:rPr>
          <w:szCs w:val="16"/>
          <w:u w:val="single"/>
        </w:rPr>
        <w:t>nie należy</w:t>
      </w:r>
      <w:r>
        <w:rPr>
          <w:szCs w:val="16"/>
        </w:rPr>
        <w:t xml:space="preserve"> traktować jako zamkniętej, gdyż nie sposób wymienić tutaj wszystkie kompozycje. Została ona tak pomyślana, aby zaproponować maksymalnie najszerszą tematykę. Jedynie </w:t>
      </w:r>
      <w:r>
        <w:rPr>
          <w:szCs w:val="16"/>
          <w:u w:val="single"/>
        </w:rPr>
        <w:t>kompetentna osoba</w:t>
      </w:r>
      <w:r>
        <w:rPr>
          <w:szCs w:val="16"/>
        </w:rPr>
        <w:t xml:space="preserve"> (np. </w:t>
      </w:r>
      <w:r>
        <w:t xml:space="preserve">duchowny odpowiedzialny za liturgię w parafii oraz </w:t>
      </w:r>
      <w:r>
        <w:rPr>
          <w:szCs w:val="16"/>
        </w:rPr>
        <w:t>wykształcony organista) mogą poddać ocenie i dopuścić do liturgii repertuar nie znajdujący się w niniejszym spisi</w:t>
      </w:r>
      <w:r>
        <w:rPr>
          <w:color w:val="000000"/>
          <w:szCs w:val="16"/>
        </w:rPr>
        <w:t>e. W przypadku wątpliwości zawsze można zwrócić się z prośbą o jej rozstrzygnięcie do Archidiecezjalnej Komisji Muzyki Sakralnej.</w:t>
      </w:r>
    </w:p>
    <w:p w:rsidR="00B72C90" w:rsidRDefault="00B72C90">
      <w:pPr>
        <w:pStyle w:val="Standard"/>
        <w:jc w:val="both"/>
      </w:pPr>
      <w:r>
        <w:rPr>
          <w:color w:val="000000"/>
          <w:szCs w:val="16"/>
        </w:rPr>
        <w:t xml:space="preserve">2. Umieszczone na liście utwory o tytule „Ave Maria” mogą być wykorzystane jedynie przed liturgią i po liturgii. Z jednej strony mogą pełnić rolę wprowadzenia i wyciszenia przed liturgią, a z drugiej można je wykorzystać, gdy młoda para podchodzi po Mszy św. pod obraz Matki Bożej, by się pomodlić (jeśli taki zwyczaj istnieje w parafii). Wykorzystanie tych utworów podczas liturgii nie jest możliwe z uwagi na fakt, iż tematycznie </w:t>
      </w:r>
      <w:r>
        <w:rPr>
          <w:color w:val="000000"/>
          <w:szCs w:val="16"/>
          <w:u w:val="single"/>
        </w:rPr>
        <w:t>nie nawiązują</w:t>
      </w:r>
      <w:r>
        <w:rPr>
          <w:color w:val="000000"/>
          <w:szCs w:val="16"/>
        </w:rPr>
        <w:t xml:space="preserve"> do</w:t>
      </w:r>
      <w:r>
        <w:rPr>
          <w:szCs w:val="16"/>
        </w:rPr>
        <w:t xml:space="preserve"> żadnej z części mszy obrzędowej.</w:t>
      </w:r>
    </w:p>
    <w:p w:rsidR="00B72C90" w:rsidRDefault="00B72C90">
      <w:pPr>
        <w:pStyle w:val="Standard"/>
        <w:jc w:val="both"/>
      </w:pPr>
      <w:r>
        <w:rPr>
          <w:szCs w:val="16"/>
        </w:rPr>
        <w:t>3. Wiele utworów na głos można realizować z powodzeniem w wersji instrumentalnej np. z użyciem fletu, oboju, skrzypiec bądź w wersji na organy solo, byleby uwzględniały kontekst i tematykę a ich charakter odzwierciedlał ducha sakralnego. Podobnie odpowiednio dobraną pieśń może wykonać solistka.</w:t>
      </w:r>
    </w:p>
    <w:p w:rsidR="00B72C90" w:rsidRDefault="00B72C90">
      <w:pPr>
        <w:pStyle w:val="Standard"/>
        <w:ind w:firstLine="567"/>
        <w:jc w:val="both"/>
        <w:rPr>
          <w:b/>
        </w:rPr>
      </w:pP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rPr>
          <w:b/>
          <w:u w:val="single"/>
        </w:rPr>
        <w:t>Śpiew gregoriański:</w:t>
      </w:r>
    </w:p>
    <w:p w:rsidR="00B72C90" w:rsidRDefault="00B72C90">
      <w:pPr>
        <w:pStyle w:val="Standard"/>
        <w:jc w:val="both"/>
      </w:pPr>
      <w:r>
        <w:rPr>
          <w:color w:val="000000"/>
        </w:rPr>
        <w:t xml:space="preserve">Godny polecenia jest łaciński śpiewnik mszalny </w:t>
      </w:r>
      <w:r>
        <w:rPr>
          <w:i/>
          <w:color w:val="000000"/>
        </w:rPr>
        <w:t>Gaudeamus</w:t>
      </w:r>
      <w:r>
        <w:rPr>
          <w:color w:val="000000"/>
        </w:rPr>
        <w:t xml:space="preserve"> ks. W. Kądzieli, wydany przez </w:t>
      </w:r>
      <w:r>
        <w:rPr>
          <w:i/>
          <w:color w:val="000000"/>
        </w:rPr>
        <w:t>Michalineum</w:t>
      </w:r>
      <w:r>
        <w:rPr>
          <w:color w:val="000000"/>
        </w:rPr>
        <w:t xml:space="preserve"> w Warszawie (wydanie pierwsze w roku 2005 oraz kolejne). Przy śpiewach, które znajdują się także w ŚAK (</w:t>
      </w:r>
      <w:r>
        <w:rPr>
          <w:i/>
          <w:iCs/>
          <w:color w:val="000000"/>
        </w:rPr>
        <w:t>Śpiewnik archidiecezji katowickiej</w:t>
      </w:r>
      <w:r>
        <w:rPr>
          <w:color w:val="000000"/>
        </w:rPr>
        <w:t xml:space="preserve">, Katowice 2000) podano ich numery, warto jednak sięgać do </w:t>
      </w:r>
      <w:r>
        <w:rPr>
          <w:i/>
          <w:color w:val="000000"/>
        </w:rPr>
        <w:t>Gaudea</w:t>
      </w:r>
      <w:r>
        <w:rPr>
          <w:i/>
        </w:rPr>
        <w:t>mus</w:t>
      </w:r>
      <w:r>
        <w:t xml:space="preserve"> ze względu na notację neumatyczną i tłumaczenia (zaleca się przygotować je dla  wiernych, ażeby mogli świadomie uczestniczyć).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t xml:space="preserve">Śpiewem idealnie nawiązującym </w:t>
      </w:r>
      <w:r>
        <w:rPr>
          <w:u w:val="single"/>
        </w:rPr>
        <w:t>tematycznie do liturgii sakramentu małżeństwa</w:t>
      </w:r>
      <w:r>
        <w:t xml:space="preserve"> jest </w:t>
      </w:r>
      <w:r>
        <w:rPr>
          <w:i/>
        </w:rPr>
        <w:t>Ubi caritas</w:t>
      </w:r>
      <w:r>
        <w:t>; jest on również o tyle przystępny w praktyce, że wystarczy gdy lud śpiewa tylko krótką antyfonę, natomiast kantor lub schola poszczególne zwrotki.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rPr>
          <w:color w:val="000000"/>
        </w:rPr>
        <w:t xml:space="preserve">Warto wykorzystać </w:t>
      </w:r>
      <w:r>
        <w:rPr>
          <w:color w:val="000000"/>
          <w:u w:val="single"/>
        </w:rPr>
        <w:t>części stałych</w:t>
      </w:r>
      <w:r>
        <w:rPr>
          <w:color w:val="000000"/>
        </w:rPr>
        <w:t xml:space="preserve">, tzw. </w:t>
      </w:r>
      <w:r>
        <w:rPr>
          <w:i/>
          <w:color w:val="000000"/>
        </w:rPr>
        <w:t>ordinarium</w:t>
      </w:r>
      <w:r>
        <w:rPr>
          <w:color w:val="000000"/>
        </w:rPr>
        <w:t xml:space="preserve">; najbardziej rozpoznawalne są </w:t>
      </w:r>
      <w:r>
        <w:rPr>
          <w:i/>
          <w:color w:val="000000"/>
        </w:rPr>
        <w:t>Missa de Angelis</w:t>
      </w:r>
      <w:r>
        <w:rPr>
          <w:color w:val="000000"/>
        </w:rPr>
        <w:t xml:space="preserve"> (ŚAK 710) i </w:t>
      </w:r>
      <w:r>
        <w:rPr>
          <w:i/>
          <w:color w:val="000000"/>
        </w:rPr>
        <w:t>Missa simplex</w:t>
      </w:r>
      <w:r>
        <w:rPr>
          <w:color w:val="000000"/>
        </w:rPr>
        <w:t xml:space="preserve"> (ŚAK 711), w </w:t>
      </w:r>
      <w:r>
        <w:rPr>
          <w:i/>
          <w:color w:val="000000"/>
        </w:rPr>
        <w:t>Gaudeamus</w:t>
      </w:r>
      <w:r>
        <w:rPr>
          <w:color w:val="000000"/>
        </w:rPr>
        <w:t xml:space="preserve"> znajduje się szerszy wybór. Można sięgnąć po łacińską wersję </w:t>
      </w:r>
      <w:r>
        <w:rPr>
          <w:u w:val="single"/>
        </w:rPr>
        <w:t>Modlitwy Pańskiej</w:t>
      </w:r>
      <w:r>
        <w:t xml:space="preserve">: </w:t>
      </w:r>
      <w:r>
        <w:rPr>
          <w:i/>
        </w:rPr>
        <w:t>Pater noster</w:t>
      </w:r>
      <w:r>
        <w:t xml:space="preserve"> (ŚAK 718.3) jak również gregoriańską melodię </w:t>
      </w:r>
      <w:r>
        <w:rPr>
          <w:u w:val="single"/>
        </w:rPr>
        <w:t>hymnu do Ducha Świętego</w:t>
      </w:r>
      <w:r>
        <w:t xml:space="preserve">: </w:t>
      </w:r>
      <w:r>
        <w:rPr>
          <w:i/>
        </w:rPr>
        <w:t>Veni Creator</w:t>
      </w:r>
      <w:r>
        <w:t xml:space="preserve"> (po łacinie: ŚAK 192, po polsku: ŚAK 191).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t xml:space="preserve">Znanym śpiewem </w:t>
      </w:r>
      <w:r>
        <w:rPr>
          <w:u w:val="single"/>
        </w:rPr>
        <w:t>eucharystycznym</w:t>
      </w:r>
      <w:r>
        <w:t xml:space="preserve"> jest z kolei: </w:t>
      </w:r>
      <w:r>
        <w:rPr>
          <w:i/>
        </w:rPr>
        <w:t>Adoro te devote</w:t>
      </w:r>
      <w:r>
        <w:t xml:space="preserve"> (polski przekład: ŚAK 292). Warto także przytoczyć tutaj dwa inne teksty, które znamy z opracowań słynnych kompozytorów: </w:t>
      </w:r>
      <w:r>
        <w:rPr>
          <w:i/>
        </w:rPr>
        <w:t>Ave verum</w:t>
      </w:r>
      <w:r>
        <w:t xml:space="preserve"> i </w:t>
      </w:r>
      <w:r>
        <w:rPr>
          <w:i/>
        </w:rPr>
        <w:t>Panis angelicus</w:t>
      </w:r>
      <w:r>
        <w:t xml:space="preserve"> – w wersji oryginalnej, gregoriańskiej, brzmią one niezwykle, unikatowo. Jako coś zupełnie wyjątkowego jest jeszcze np. </w:t>
      </w:r>
      <w:r>
        <w:rPr>
          <w:i/>
        </w:rPr>
        <w:t>O sacrum convivium</w:t>
      </w:r>
      <w:r>
        <w:t>, albo</w:t>
      </w:r>
      <w:r>
        <w:rPr>
          <w:i/>
        </w:rPr>
        <w:t xml:space="preserve"> Laudetur usque Christus </w:t>
      </w:r>
      <w:r>
        <w:t>(krótka antyfona eucharystyczna, która może np. rozpocząć Komunię świętą – zanim będzie utwór).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t>Oczywiści</w:t>
      </w:r>
      <w:r>
        <w:rPr>
          <w:color w:val="000000"/>
        </w:rPr>
        <w:t xml:space="preserve">e nie wolno pominąć bogactwa antyfon </w:t>
      </w:r>
      <w:r>
        <w:rPr>
          <w:color w:val="000000"/>
          <w:u w:val="single"/>
        </w:rPr>
        <w:t xml:space="preserve">maryjnych: </w:t>
      </w:r>
      <w:r>
        <w:rPr>
          <w:i/>
          <w:color w:val="000000"/>
        </w:rPr>
        <w:t>Salve Regina</w:t>
      </w:r>
      <w:r>
        <w:rPr>
          <w:color w:val="000000"/>
        </w:rPr>
        <w:t xml:space="preserve"> (po łacinie: ŚAK 453, po polsku: ŚAK 452) oraz analogiczne teksty na poszczególne okresy liturgiczne: np. </w:t>
      </w:r>
      <w:r>
        <w:rPr>
          <w:i/>
          <w:color w:val="000000"/>
        </w:rPr>
        <w:t>Regina caeli</w:t>
      </w:r>
      <w:r>
        <w:rPr>
          <w:color w:val="000000"/>
        </w:rPr>
        <w:t xml:space="preserve"> (ŚAK 173) w okresie wielkanocnym, zaś</w:t>
      </w:r>
      <w:r>
        <w:rPr>
          <w:i/>
          <w:color w:val="000000"/>
        </w:rPr>
        <w:t xml:space="preserve"> Alma Redemptoris Mater</w:t>
      </w:r>
      <w:r>
        <w:rPr>
          <w:color w:val="000000"/>
        </w:rPr>
        <w:t xml:space="preserve"> w okresie Narodzenia Pańskiego. Jednakże bardziej adekwatna wydaje się tu modlitwa “Pod Twoją obronę”: </w:t>
      </w:r>
      <w:r>
        <w:rPr>
          <w:i/>
          <w:color w:val="000000"/>
        </w:rPr>
        <w:t xml:space="preserve">Sub tuum praesidium </w:t>
      </w:r>
      <w:r>
        <w:rPr>
          <w:color w:val="000000"/>
        </w:rPr>
        <w:t xml:space="preserve">(wszyscy znają jej treść, a z kolei ów charakter zawierzenia doskonale wpisuje się w okoliczność). Wdzięczną propozycją może także być tekst “Cała piękna jesteś Maryjo” – </w:t>
      </w:r>
      <w:r>
        <w:rPr>
          <w:i/>
          <w:color w:val="000000"/>
        </w:rPr>
        <w:t xml:space="preserve">Tota pulchra es Maria </w:t>
      </w:r>
      <w:r>
        <w:rPr>
          <w:color w:val="000000"/>
        </w:rPr>
        <w:t xml:space="preserve">(w tym tekście poza radosną pochwałą Matki Bożej, na końcu jest prośba o wstawiennictwo), a także </w:t>
      </w:r>
      <w:r>
        <w:rPr>
          <w:i/>
          <w:color w:val="000000"/>
        </w:rPr>
        <w:t xml:space="preserve">Salve Mater misericordiae </w:t>
      </w:r>
      <w:r>
        <w:rPr>
          <w:color w:val="000000"/>
        </w:rPr>
        <w:t>(gdzie już początkowe określenia mówią o nadziei, łasce i radości).</w:t>
      </w:r>
    </w:p>
    <w:p w:rsidR="00B72C90" w:rsidRDefault="00B72C90">
      <w:pPr>
        <w:pStyle w:val="Standard"/>
        <w:jc w:val="both"/>
      </w:pPr>
    </w:p>
    <w:p w:rsidR="00B72C90" w:rsidRDefault="00B72C90">
      <w:pPr>
        <w:pStyle w:val="Standard"/>
        <w:jc w:val="both"/>
      </w:pPr>
      <w:r>
        <w:t>Koniecznie warto t</w:t>
      </w:r>
      <w:r>
        <w:rPr>
          <w:color w:val="000000"/>
        </w:rPr>
        <w:t>eż wspomnieć o najbardziej znanej modlitwie maryjnej – po prostu „</w:t>
      </w:r>
      <w:r>
        <w:rPr>
          <w:i/>
          <w:color w:val="000000"/>
        </w:rPr>
        <w:t xml:space="preserve">Ave Maria”, </w:t>
      </w:r>
      <w:r>
        <w:rPr>
          <w:color w:val="000000"/>
        </w:rPr>
        <w:t xml:space="preserve">która – podobnie jak dwa wspomniane wyżej teksty eucharystyczne – po gregoriańsku brzmi wyjątkowo. Jeśli np. ślub przypadnie w jakieś wspomnienie czy święto maryjne, można zaproponować śpiew </w:t>
      </w:r>
      <w:r>
        <w:rPr>
          <w:i/>
          <w:color w:val="000000"/>
        </w:rPr>
        <w:t>Magnificat</w:t>
      </w:r>
      <w:r>
        <w:rPr>
          <w:color w:val="000000"/>
        </w:rPr>
        <w:t xml:space="preserve"> jako uwielbienie po Komunii świętej. Należy jeszcze wspomnieć o ważnej kompozycji </w:t>
      </w:r>
      <w:r>
        <w:rPr>
          <w:i/>
          <w:color w:val="000000"/>
        </w:rPr>
        <w:t xml:space="preserve">Ave maris stella </w:t>
      </w:r>
      <w:r>
        <w:rPr>
          <w:color w:val="000000"/>
        </w:rPr>
        <w:t>i nic nie stoi na przeszkodzie, by użyć jej też na ślubie.</w:t>
      </w:r>
    </w:p>
    <w:p w:rsidR="00B72C90" w:rsidRDefault="00B72C90">
      <w:pPr>
        <w:pStyle w:val="Standard"/>
      </w:pPr>
    </w:p>
    <w:p w:rsidR="00B72C90" w:rsidRDefault="00B72C90">
      <w:pPr>
        <w:pStyle w:val="Standard"/>
        <w:jc w:val="both"/>
      </w:pPr>
      <w:r>
        <w:rPr>
          <w:u w:val="single"/>
        </w:rPr>
        <w:t>Ciekawe analogie</w:t>
      </w:r>
      <w:r>
        <w:t xml:space="preserve"> do tekstów związanych z liturgią ślubną przedstawia śpiew o Sercu Pana </w:t>
      </w:r>
      <w:r>
        <w:rPr>
          <w:color w:val="000000"/>
        </w:rPr>
        <w:t xml:space="preserve">Jezusa </w:t>
      </w:r>
      <w:r>
        <w:rPr>
          <w:i/>
          <w:color w:val="000000"/>
        </w:rPr>
        <w:t>Cor Jesu, caritatis victima</w:t>
      </w:r>
      <w:r>
        <w:rPr>
          <w:color w:val="000000"/>
        </w:rPr>
        <w:t xml:space="preserve"> (np. wers “Większej miłości nikt nie ma, gdy duszę swoją składa ktoś za przyjaciół swoich”) Wydaje się stosowne polecenie także tego śpiewu,  zwłaszcza w czerwcu. Podobnie śpiew przed Ewangelią </w:t>
      </w:r>
      <w:r>
        <w:rPr>
          <w:i/>
          <w:color w:val="000000"/>
        </w:rPr>
        <w:t xml:space="preserve">Qui servat verbum Christi </w:t>
      </w:r>
      <w:r>
        <w:rPr>
          <w:color w:val="000000"/>
        </w:rPr>
        <w:t xml:space="preserve">(tzn. “Kto zachowuje słowo Chrystusa, w tym naprawdę miłość Boża jest doskonała”) zdaje się być zbieżny z propozycjami z “Obrzędów sakramentu małżeństwa”. Kolejną interesującą analogią jest antyfona </w:t>
      </w:r>
      <w:r>
        <w:rPr>
          <w:i/>
          <w:color w:val="000000"/>
        </w:rPr>
        <w:t>Cantate Domino</w:t>
      </w:r>
      <w:r>
        <w:rPr>
          <w:color w:val="000000"/>
        </w:rPr>
        <w:t xml:space="preserve"> przeplatana z psalmem 150 – warto porównać ją ze śpiewem na uwielbienie ŚAK 312, jak i opracowaniami słynnych kompozytorów.</w:t>
      </w:r>
    </w:p>
    <w:p w:rsidR="00B72C90" w:rsidRDefault="00B72C90">
      <w:pPr>
        <w:pStyle w:val="Standard"/>
        <w:rPr>
          <w:color w:val="000000"/>
        </w:rPr>
      </w:pPr>
    </w:p>
    <w:p w:rsidR="00B72C90" w:rsidRPr="009E2FAF" w:rsidRDefault="00B72C90" w:rsidP="009E2FAF">
      <w:pPr>
        <w:pStyle w:val="Standard"/>
        <w:jc w:val="both"/>
      </w:pPr>
      <w:r>
        <w:rPr>
          <w:color w:val="000000"/>
        </w:rPr>
        <w:t xml:space="preserve">Jakkolwiek powyższe zestawienie propozycji jest dość obszerne (choć stanowi zaledwie skrawek czegoś co można nazwać wielkim bogactwem Kościoła, tzn. repertuaru chorału gregoriańskiego). Skoro śpiew gregoriański nigdy nie przestał być uznawany w dokumentach Kościoła za rdzenny i najważniejszy gatunek muzyki w liturgii Kościoła rzymskokatolickiego, to wskazana jest także refleksja na temat przyczyn częstego ignorowania i pomijania go w praktyce, zaś proponowania zupełnie innego, często niestosownego repertuaru w liturgii. Otóż właśnie brzmienie gregoriańskie jest jej pięknym wyróżnikiem, należy zatem dbać o poszczególne jej elementy: dobrze przygotowaną scholę i kantora, organistę, który umie akompaniować po gregoriańsku, itd.   </w:t>
      </w:r>
    </w:p>
    <w:sectPr w:rsidR="00B72C90" w:rsidRPr="009E2FAF" w:rsidSect="006024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90" w:rsidRDefault="00B72C90">
      <w:r>
        <w:separator/>
      </w:r>
    </w:p>
  </w:endnote>
  <w:endnote w:type="continuationSeparator" w:id="0">
    <w:p w:rsidR="00B72C90" w:rsidRDefault="00B7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90" w:rsidRDefault="00B72C90">
      <w:r>
        <w:rPr>
          <w:color w:val="000000"/>
        </w:rPr>
        <w:separator/>
      </w:r>
    </w:p>
  </w:footnote>
  <w:footnote w:type="continuationSeparator" w:id="0">
    <w:p w:rsidR="00B72C90" w:rsidRDefault="00B7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02A"/>
    <w:multiLevelType w:val="multilevel"/>
    <w:tmpl w:val="EBBE940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EB857F9"/>
    <w:multiLevelType w:val="multilevel"/>
    <w:tmpl w:val="59905ADC"/>
    <w:styleLink w:val="WWNum6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0B96154"/>
    <w:multiLevelType w:val="multilevel"/>
    <w:tmpl w:val="1D7C9BB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4E4E4DE5"/>
    <w:multiLevelType w:val="multilevel"/>
    <w:tmpl w:val="15F604F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BE16CD4"/>
    <w:multiLevelType w:val="multilevel"/>
    <w:tmpl w:val="B59EDBEA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72323B83"/>
    <w:multiLevelType w:val="multilevel"/>
    <w:tmpl w:val="AB06A6A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2E"/>
    <w:rsid w:val="004817BA"/>
    <w:rsid w:val="005B5F2E"/>
    <w:rsid w:val="006024DD"/>
    <w:rsid w:val="009A3CBA"/>
    <w:rsid w:val="009E2FAF"/>
    <w:rsid w:val="00B72C90"/>
    <w:rsid w:val="00F9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D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024DD"/>
    <w:pPr>
      <w:suppressAutoHyphens/>
      <w:autoSpaceDN w:val="0"/>
      <w:textAlignment w:val="baseline"/>
    </w:pPr>
    <w:rPr>
      <w:rFonts w:ascii="Calibri" w:hAnsi="Calibri" w:cs="Times New Roman"/>
      <w:kern w:val="3"/>
      <w:sz w:val="24"/>
      <w:szCs w:val="24"/>
      <w:lang w:eastAsia="zh-CN" w:bidi="hi-IN"/>
    </w:rPr>
  </w:style>
  <w:style w:type="paragraph" w:styleId="Header">
    <w:name w:val="header"/>
    <w:basedOn w:val="Standard"/>
    <w:next w:val="Textbody"/>
    <w:link w:val="HeaderChar"/>
    <w:uiPriority w:val="99"/>
    <w:rsid w:val="006024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7A72"/>
    <w:rPr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6024DD"/>
    <w:pPr>
      <w:spacing w:after="120"/>
    </w:pPr>
  </w:style>
  <w:style w:type="paragraph" w:styleId="List">
    <w:name w:val="List"/>
    <w:basedOn w:val="Textbody"/>
    <w:uiPriority w:val="99"/>
    <w:rsid w:val="006024DD"/>
    <w:rPr>
      <w:rFonts w:cs="Mangal"/>
    </w:rPr>
  </w:style>
  <w:style w:type="paragraph" w:styleId="Caption">
    <w:name w:val="caption"/>
    <w:basedOn w:val="Standard"/>
    <w:uiPriority w:val="99"/>
    <w:qFormat/>
    <w:rsid w:val="006024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6024DD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99"/>
    <w:qFormat/>
    <w:rsid w:val="006024DD"/>
    <w:pPr>
      <w:ind w:left="720"/>
    </w:pPr>
  </w:style>
  <w:style w:type="paragraph" w:styleId="CommentText">
    <w:name w:val="annotation text"/>
    <w:basedOn w:val="Standard"/>
    <w:link w:val="CommentTextChar"/>
    <w:uiPriority w:val="99"/>
    <w:rsid w:val="00602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72"/>
    <w:rPr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link w:val="CommentSubjectChar"/>
    <w:uiPriority w:val="99"/>
    <w:rsid w:val="0060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72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60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2"/>
    <w:rPr>
      <w:kern w:val="3"/>
      <w:sz w:val="0"/>
      <w:szCs w:val="0"/>
      <w:lang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6024D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024DD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6024DD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6024DD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6024DD"/>
    <w:rPr>
      <w:rFonts w:ascii="Tahoma" w:eastAsia="Times New Roman" w:hAnsi="Tahoma" w:cs="Tahoma"/>
      <w:sz w:val="16"/>
      <w:szCs w:val="16"/>
    </w:rPr>
  </w:style>
  <w:style w:type="character" w:customStyle="1" w:styleId="FootnoteSymbol">
    <w:name w:val="Footnote Symbol"/>
    <w:uiPriority w:val="99"/>
    <w:rsid w:val="006024DD"/>
    <w:rPr>
      <w:position w:val="0"/>
      <w:vertAlign w:val="superscript"/>
    </w:rPr>
  </w:style>
  <w:style w:type="character" w:customStyle="1" w:styleId="ListLabel1">
    <w:name w:val="ListLabel 1"/>
    <w:uiPriority w:val="99"/>
    <w:rsid w:val="006024DD"/>
  </w:style>
  <w:style w:type="numbering" w:customStyle="1" w:styleId="WWNum1">
    <w:name w:val="WWNum1"/>
    <w:rsid w:val="00617A72"/>
    <w:pPr>
      <w:numPr>
        <w:numId w:val="1"/>
      </w:numPr>
    </w:pPr>
  </w:style>
  <w:style w:type="numbering" w:customStyle="1" w:styleId="WWNum6">
    <w:name w:val="WWNum6"/>
    <w:rsid w:val="00617A72"/>
    <w:pPr>
      <w:numPr>
        <w:numId w:val="6"/>
      </w:numPr>
    </w:pPr>
  </w:style>
  <w:style w:type="numbering" w:customStyle="1" w:styleId="WWNum2">
    <w:name w:val="WWNum2"/>
    <w:rsid w:val="00617A72"/>
    <w:pPr>
      <w:numPr>
        <w:numId w:val="2"/>
      </w:numPr>
    </w:pPr>
  </w:style>
  <w:style w:type="numbering" w:customStyle="1" w:styleId="WWNum3">
    <w:name w:val="WWNum3"/>
    <w:rsid w:val="00617A72"/>
    <w:pPr>
      <w:numPr>
        <w:numId w:val="3"/>
      </w:numPr>
    </w:pPr>
  </w:style>
  <w:style w:type="numbering" w:customStyle="1" w:styleId="WWNum5">
    <w:name w:val="WWNum5"/>
    <w:rsid w:val="00617A72"/>
    <w:pPr>
      <w:numPr>
        <w:numId w:val="5"/>
      </w:numPr>
    </w:pPr>
  </w:style>
  <w:style w:type="numbering" w:customStyle="1" w:styleId="WWNum4">
    <w:name w:val="WWNum4"/>
    <w:rsid w:val="00617A7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Microsoft/Windows/Temporary%20Internet%20Files/Content.IE5/YKE8T83O/&#346;LUB_popr_WH_popr%20AR_MD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1805</Words>
  <Characters>10833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i Piotrek</dc:creator>
  <cp:keywords/>
  <dc:description/>
  <cp:lastModifiedBy>Ryszard</cp:lastModifiedBy>
  <cp:revision>3</cp:revision>
  <dcterms:created xsi:type="dcterms:W3CDTF">2018-03-01T10:13:00Z</dcterms:created>
  <dcterms:modified xsi:type="dcterms:W3CDTF">2018-03-26T17:25:00Z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7.27082360954252E-280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